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trade surplus to the dispute over the exchange rate Quantitative analysis of RMB appreciation</w:t>
      </w:r>
    </w:p>
    <w:p>
      <w:r>
        <w:rPr>
          <w:rFonts w:ascii="宋体" w:hAnsi="宋体" w:eastAsia="宋体"/>
          <w:sz w:val="24"/>
        </w:rPr>
        <w:t>Li Xin; Xu Dianqing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trade surplus to the dispute over the exchange rate Quantitative analysis of RMB appreciation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Xin; Xu Dianqing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本书出售、求购地址：https://www.jiaokey.com/book/detail/41005616.html</w:t>
      </w:r>
    </w:p>
    <w:p>
      <w:r>
        <w:t>更多相关图书推荐：https://www.jiaokey.com</w:t>
      </w:r>
    </w:p>
    <w:p>
      <w:r>
        <w:t>Li Xin; Xu Dianqing 其他作品：https://www.jiaokey.com/tag/Li Xin; Xu Dianqing.html</w:t>
      </w:r>
    </w:p>
    <w:p>
      <w:r>
        <w:t>World Scientific 出版图书：https://www.jiaokey.com/tag/World Scientific.html</w:t>
      </w:r>
    </w:p>
    <w:p>
      <w:r>
        <w:t>关键词搜索：https://www.jiaokey.com/tag/From trade surplus to the dispute over the exchange rate Quantitative analysis of RMB appreciation.html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