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Conflicting objectives in decisions</w:t>
      </w:r>
    </w:p>
    <w:p>
      <w:r>
        <w:rPr>
          <w:rFonts w:ascii="宋体" w:hAnsi="宋体" w:eastAsia="宋体"/>
          <w:sz w:val="24"/>
        </w:rPr>
        <w:t>Bell;David E.;Keeney;Ralph L.;Raiffa;Howard; International Institute for Applied Systems Analysis.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Conflicting objectives in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Bell;David E.;Keeney;Ralph L.;Raiffa;Howard; International Institute for Applied Systems Analysis.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本书出售、求购地址：https://www.jiaokey.com/book/detail/41008801.html</w:t>
      </w:r>
    </w:p>
    <w:p>
      <w:r>
        <w:t>更多相关图书推荐：https://www.jiaokey.com</w:t>
      </w:r>
    </w:p>
    <w:p>
      <w:r>
        <w:t>Bell;David E.;Keeney;Ralph L.;Raiffa;Howard; International Institute for Applied Systems Analysis. 其他作品：https://www.jiaokey.com/tag/Bell;David E.;Keeney;Ralph L.;Raiffa;Howard; International Institute for Applied Systems Analysis..html</w:t>
      </w:r>
    </w:p>
    <w:p>
      <w:r>
        <w:t>Wiley 出版图书：https://www.jiaokey.com/tag/Wiley.html</w:t>
      </w:r>
    </w:p>
    <w:p>
      <w:r>
        <w:t>关键词搜索：https://www.jiaokey.com/tag/Conflicting objectives in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