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中华人民共和国反外国制裁法</w:t>
      </w:r>
    </w:p>
    <w:p>
      <w:r>
        <w:rPr>
          <w:rFonts w:ascii="宋体" w:hAnsi="宋体" w:eastAsia="宋体"/>
          <w:sz w:val="24"/>
        </w:rPr>
        <w:t>法律出版社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中华人民共和国反外国制裁法</w:t>
            </w:r>
          </w:p>
        </w:tc>
      </w:tr>
      <w:tr>
        <w:tc>
          <w:tcPr>
            <w:tcW w:type="dxa" w:w="4320"/>
          </w:tcPr>
          <w:p>
            <w:r>
              <w:t>作者</w:t>
            </w:r>
          </w:p>
        </w:tc>
        <w:tc>
          <w:tcPr>
            <w:tcW w:type="dxa" w:w="4320"/>
          </w:tcPr>
          <w:p>
            <w:r>
              <w:t>法律出版社</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9787519756970</w:t>
            </w:r>
          </w:p>
        </w:tc>
      </w:tr>
      <w:tr>
        <w:tc>
          <w:tcPr>
            <w:tcW w:type="dxa" w:w="4320"/>
          </w:tcPr>
          <w:p>
            <w:r>
              <w:t>出版日期</w:t>
            </w:r>
          </w:p>
        </w:tc>
        <w:tc>
          <w:tcPr>
            <w:tcW w:type="dxa" w:w="4320"/>
          </w:tcPr>
          <w:p>
            <w:r>
              <w:t>2021-06-01</w:t>
            </w:r>
          </w:p>
        </w:tc>
      </w:tr>
      <w:tr>
        <w:tc>
          <w:tcPr>
            <w:tcW w:type="dxa" w:w="4320"/>
          </w:tcPr>
          <w:p>
            <w:r>
              <w:t>页数</w:t>
            </w:r>
          </w:p>
        </w:tc>
        <w:tc>
          <w:tcPr>
            <w:tcW w:type="dxa" w:w="4320"/>
          </w:tcPr>
          <w:p>
            <w:r>
              <w:t>12</w:t>
            </w:r>
          </w:p>
        </w:tc>
      </w:tr>
      <w:tr>
        <w:tc>
          <w:tcPr>
            <w:tcW w:type="dxa" w:w="4320"/>
          </w:tcPr>
          <w:p>
            <w:r>
              <w:t>价格</w:t>
            </w:r>
          </w:p>
        </w:tc>
        <w:tc>
          <w:tcPr>
            <w:tcW w:type="dxa" w:w="4320"/>
          </w:tcPr>
          <w:p>
            <w:r/>
          </w:p>
        </w:tc>
      </w:tr>
      <w:tr>
        <w:tc>
          <w:tcPr>
            <w:tcW w:type="dxa" w:w="4320"/>
          </w:tcPr>
          <w:p>
            <w:r>
              <w:t>关键词</w:t>
            </w:r>
          </w:p>
        </w:tc>
        <w:tc>
          <w:tcPr>
            <w:tcW w:type="dxa" w:w="4320"/>
          </w:tcPr>
          <w:p>
            <w:r>
              <w:t>D922.13</w:t>
            </w:r>
          </w:p>
        </w:tc>
      </w:tr>
      <w:tr>
        <w:tc>
          <w:tcPr>
            <w:tcW w:type="dxa" w:w="4320"/>
          </w:tcPr>
          <w:p>
            <w:r>
              <w:t>分类</w:t>
            </w:r>
          </w:p>
        </w:tc>
        <w:tc>
          <w:tcPr>
            <w:tcW w:type="dxa" w:w="4320"/>
          </w:tcPr>
          <w:p>
            <w:r>
              <w:t>行政法</w:t>
            </w:r>
          </w:p>
        </w:tc>
      </w:tr>
    </w:tbl>
    <w:p/>
    <w:p>
      <w:pPr>
        <w:pStyle w:val="Heading1"/>
      </w:pPr>
      <w:r>
        <w:t>图书介绍</w:t>
      </w:r>
    </w:p>
    <w:p>
      <w:r>
        <w:t>《中华人民共和国反外国制裁法》共有16条。这部法律的出台是反击某些西方国家霸权主义和强权政治的迫切需要，是维护国家主权、安全、发展利益的迫切需要，是统筹推进国内法治和涉外法治的迫切需要，具有重要现实意义和长远意义。</w:t>
      </w:r>
    </w:p>
    <w:p/>
    <w:p>
      <w:r>
        <w:t>本书出售、求购地址：https://www.jiaokey.com/book/detail/70001461.html</w:t>
      </w:r>
    </w:p>
    <w:p>
      <w:r>
        <w:t>更多行政法图书推荐：https://www.jiaokey.com</w:t>
      </w:r>
    </w:p>
    <w:p>
      <w:r>
        <w:t>法律出版社 其他作品：https://www.jiaokey.com/tag/法律出版社.html</w:t>
      </w:r>
    </w:p>
    <w:p>
      <w:r>
        <w:t>北京：法律出版社 出版图书：https://www.jiaokey.com/tag/北京：法律出版社.html</w:t>
      </w:r>
    </w:p>
    <w:p>
      <w:r>
        <w:t>关键词搜索：https://www.jiaokey.com/tag/D922.13.html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