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文艺复兴欧洲艺术  下</w:t>
      </w:r>
    </w:p>
    <w:p>
      <w:r>
        <w:rPr>
          <w:rFonts w:ascii="宋体" w:hAnsi="宋体" w:eastAsia="宋体"/>
          <w:sz w:val="24"/>
        </w:rPr>
        <w:t>苏联艺术科学院美术理论与美术史研究所编；严摩罕，姚岳山，平野译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文艺复兴欧洲艺术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苏联艺术科学院美术理论与美术史研究所编；严摩罕，姚岳山，平野译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本书出售、求购地址：https://www.jiaokey.com/book/detail/80401447.html</w:t>
      </w:r>
    </w:p>
    <w:p>
      <w:r>
        <w:t>更多相关图书推荐：https://www.jiaokey.com</w:t>
      </w:r>
    </w:p>
    <w:p>
      <w:r>
        <w:t>苏联艺术科学院美术理论与美术史研究所编；严摩罕，姚岳山，平野译 其他作品：https://www.jiaokey.com/tag/苏联艺术科学院美术理论与美术史研究所编；严摩罕，姚岳山，平野译.html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关键词搜索：https://www.jiaokey.com/tag/文艺复兴欧洲艺术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