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少数民族地区必须走经济、文化同步发展的路子    </w:t>
      </w:r>
    </w:p>
    <w:p>
      <w:r>
        <w:rPr>
          <w:rFonts w:ascii="宋体" w:hAnsi="宋体" w:eastAsia="宋体"/>
          <w:sz w:val="24"/>
        </w:rPr>
        <w:t>石朝江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少数民族地区必须走经济、文化同步发展的路子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石朝江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本书出售、求购地址：https://www.jiaokey.com/book/detail/81235176.html</w:t>
      </w:r>
    </w:p>
    <w:p>
      <w:r>
        <w:t>更多相关图书推荐：https://www.jiaokey.com</w:t>
      </w:r>
    </w:p>
    <w:p>
      <w:r>
        <w:t>石朝江 其他作品：https://www.jiaokey.com/tag/石朝江.html</w:t>
      </w:r>
    </w:p>
    <w:p>
      <w:r>
        <w:t>关键词搜索：https://www.jiaokey.com/tag/少数民族地区必须走经济、文化同步发展的路子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