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财产权利与制度变迁</w:t>
      </w:r>
    </w:p>
    <w:p>
      <w:r>
        <w:rPr>
          <w:rFonts w:ascii="宋体" w:hAnsi="宋体" w:eastAsia="宋体"/>
          <w:sz w:val="24"/>
        </w:rPr>
        <w:t>·科斯A·阿尔钦D·诺斯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财产权利与制度变迁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·科斯A·阿尔钦D·诺斯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2004-11-12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本书出售、求购地址：https://www.jiaokey.com/book/detail/90064099.html</w:t>
      </w:r>
    </w:p>
    <w:p>
      <w:r>
        <w:t>更多相关图书推荐：https://www.jiaokey.com</w:t>
      </w:r>
    </w:p>
    <w:p>
      <w:r>
        <w:t>·科斯A·阿尔钦D·诺斯 其他作品：https://www.jiaokey.com/tag/·科斯A·阿尔钦D·诺斯.html</w:t>
      </w:r>
    </w:p>
    <w:p>
      <w:r>
        <w:t>延边教育出版社 出版图书：https://www.jiaokey.com/tag/延边教育出版社.html</w:t>
      </w:r>
    </w:p>
    <w:p>
      <w:r>
        <w:t>关键词搜索：https://www.jiaokey.com/tag/财产权利与制度变迁.html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