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对接与冲突：三民主义在孙中山身后的流变（1925～1945）</w:t>
      </w:r>
    </w:p>
    <w:p>
      <w:r>
        <w:rPr>
          <w:rFonts w:ascii="宋体" w:hAnsi="宋体" w:eastAsia="宋体"/>
          <w:sz w:val="24"/>
        </w:rPr>
        <w:t>张军民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对接与冲突：三民主义在孙中山身后的流变（1925～1945）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本书出售、求购地址：https://www.jiaokey.com/book/detail/90117710.html</w:t>
      </w:r>
    </w:p>
    <w:p>
      <w:r>
        <w:t>更多相关图书推荐：https://www.jiaokey.com</w:t>
      </w:r>
    </w:p>
    <w:p>
      <w:r>
        <w:t>张军民 其他作品：https://www.jiaokey.com/tag/张军民.html</w:t>
      </w:r>
    </w:p>
    <w:p>
      <w:r>
        <w:t>天津古籍出版社 出版图书：https://www.jiaokey.com/tag/天津古籍出版社.html</w:t>
      </w:r>
    </w:p>
    <w:p>
      <w:r>
        <w:t>关键词搜索：https://www.jiaokey.com/tag/对接与冲突：三民主义在孙中山身后的流变（1925～1945）.html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