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井冈杜鹃别样红：江西高校思想政治教育创新100例</w:t>
      </w:r>
    </w:p>
    <w:p>
      <w:r>
        <w:rPr>
          <w:rFonts w:ascii="宋体" w:hAnsi="宋体" w:eastAsia="宋体"/>
          <w:sz w:val="24"/>
        </w:rPr>
        <w:t>虞国庆，史蓉蓉主编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井冈杜鹃别样红：江西高校思想政治教育创新100例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虞国庆，史蓉蓉主编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本书出售、求购地址：https://www.jiaokey.com/book/detail/90142875.html</w:t>
      </w:r>
    </w:p>
    <w:p>
      <w:r>
        <w:t>更多相关图书推荐：https://www.jiaokey.com</w:t>
      </w:r>
    </w:p>
    <w:p>
      <w:r>
        <w:t>虞国庆，史蓉蓉主编 其他作品：https://www.jiaokey.com/tag/虞国庆，史蓉蓉主编.html</w:t>
      </w:r>
    </w:p>
    <w:p>
      <w:r>
        <w:t>江西高校出版社 出版图书：https://www.jiaokey.com/tag/江西高校出版社.html</w:t>
      </w:r>
    </w:p>
    <w:p>
      <w:r>
        <w:t>关键词搜索：https://www.jiaokey.com/tag/井冈杜鹃别样红：江西高校思想政治教育创新100例.html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