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书名：公司印章案例裁判规则解读  公司印章风险防范指南</w:t>
      </w:r>
    </w:p>
    <w:p>
      <w:r>
        <w:t>作者:唐青林，李舒</w:t>
      </w:r>
    </w:p>
    <w:p>
      <w:r>
        <w:t>出版社:北京：中国法制出版社</w:t>
      </w:r>
    </w:p>
    <w:p>
      <w:r>
        <w:t>出版日期：2024.03</w:t>
      </w:r>
    </w:p>
    <w:p>
      <w:r>
        <w:t>总页数：801</w:t>
      </w:r>
    </w:p>
    <w:p>
      <w:r>
        <w:t>更多请访问教客网:www.jiaokey.com</w:t>
      </w:r>
    </w:p>
    <w:p>
      <w:r>
        <w:t>公司印章案例裁判规则解读  公司印章风险防范指南评论地址：https://www.jiaokey.com/book/detail/96361449.html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